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7258"/>
        <w:gridCol w:w="251"/>
        <w:tblGridChange w:id="0">
          <w:tblGrid>
            <w:gridCol w:w="2093"/>
            <w:gridCol w:w="7258"/>
            <w:gridCol w:w="251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rFonts w:ascii="Erica One" w:cs="Erica One" w:eastAsia="Erica One" w:hAnsi="Erica One"/>
                <w:color w:val="e36c0a"/>
                <w:sz w:val="40"/>
                <w:szCs w:val="40"/>
              </w:rPr>
            </w:pPr>
            <w:r w:rsidDel="00000000" w:rsidR="00000000" w:rsidRPr="00000000">
              <w:rPr>
                <w:rFonts w:ascii="Erica One" w:cs="Erica One" w:eastAsia="Erica One" w:hAnsi="Erica One"/>
                <w:color w:val="e36c0a"/>
                <w:sz w:val="40"/>
                <w:szCs w:val="40"/>
                <w:rtl w:val="0"/>
              </w:rPr>
              <w:t xml:space="preserve">Týdenní plán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Erica One" w:cs="Erica One" w:eastAsia="Erica One" w:hAnsi="Erica One"/>
                <w:color w:val="ff9900"/>
                <w:sz w:val="32"/>
                <w:szCs w:val="32"/>
              </w:rPr>
            </w:pPr>
            <w:r w:rsidDel="00000000" w:rsidR="00000000" w:rsidRPr="00000000">
              <w:rPr>
                <w:rFonts w:ascii="Erica One" w:cs="Erica One" w:eastAsia="Erica One" w:hAnsi="Erica One"/>
                <w:color w:val="ff9900"/>
                <w:sz w:val="32"/>
                <w:szCs w:val="32"/>
                <w:rtl w:val="0"/>
              </w:rPr>
              <w:t xml:space="preserve">12. 1. – 16. 1. 2026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Arial Black" w:cs="Arial Black" w:eastAsia="Arial Black" w:hAnsi="Arial Black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8"/>
                <w:szCs w:val="28"/>
                <w:rtl w:val="0"/>
              </w:rPr>
              <w:t xml:space="preserve">Třída:  III. C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Arial Black" w:cs="Arial Black" w:eastAsia="Arial Black" w:hAnsi="Arial Black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8"/>
                <w:szCs w:val="28"/>
                <w:rtl w:val="0"/>
              </w:rPr>
              <w:t xml:space="preserve">Třídní učitel:  Mgr. Renata Ignačíková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99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9900"/>
                <w:sz w:val="28"/>
                <w:szCs w:val="28"/>
                <w:rtl w:val="0"/>
              </w:rPr>
              <w:t xml:space="preserve">Předmět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99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9900"/>
                <w:sz w:val="28"/>
                <w:szCs w:val="28"/>
                <w:rtl w:val="0"/>
              </w:rPr>
              <w:t xml:space="preserve">Učivo, pomůcky…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ff99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Český jazyk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Č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U: str. 54 - 56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PS: str. 37 - 39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Anglický jazyk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Zvuková a grafická podoba jazyka, základní výslovnostní návyky. 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U: str. 26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PS: str.    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Matematika</w:t>
            </w:r>
            <w:r w:rsidDel="00000000" w:rsidR="00000000" w:rsidRPr="00000000">
              <w:rPr>
                <w:sz w:val="28"/>
                <w:szCs w:val="28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U: str. 46 - 49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PS1: str. 34 – 37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Prvouka</w:t>
            </w:r>
            <w:r w:rsidDel="00000000" w:rsidR="00000000" w:rsidRPr="00000000">
              <w:rPr>
                <w:sz w:val="28"/>
                <w:szCs w:val="28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Můj region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U: str. 36 - 37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Poznámky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b w:val="1"/>
                <w:bCs w:val="1"/>
                <w:i w:val="1"/>
                <w:i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0000"/>
                <w:rtl w:val="0"/>
              </w:rPr>
              <w:t xml:space="preserve">Každodenní HLASITÉ čtení a každodenní trénování psaní.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školy nosíme mazací tabulku a nezapomínáme na kontrolu pouzdra.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13.1.  Pololetní práce z 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14.1.  Pololetní práce z 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ČJ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8b9ww2iqqs98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 – 15.1.  Tripartity</w:t>
            </w:r>
          </w:p>
        </w:tc>
      </w:tr>
      <w:tr>
        <w:trPr>
          <w:cantSplit w:val="0"/>
          <w:trHeight w:val="12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7725"/>
        </w:tabs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Erica One"/>
  <w:font w:name="Arial Blac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