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7050B5" w:rsidP="007050B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14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80DB7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18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80DB7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980DB7">
              <w:rPr>
                <w:b/>
              </w:rPr>
              <w:t>Ve světě objevů a vynálezů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980DB7">
              <w:rPr>
                <w:b/>
              </w:rPr>
              <w:t>10</w:t>
            </w:r>
            <w:r w:rsidR="00AA0528">
              <w:rPr>
                <w:b/>
              </w:rPr>
              <w:t>3</w:t>
            </w:r>
            <w:r w:rsidR="00980DB7">
              <w:rPr>
                <w:b/>
              </w:rPr>
              <w:t xml:space="preserve"> - 10</w:t>
            </w:r>
            <w:r w:rsidR="00AA0528">
              <w:rPr>
                <w:b/>
              </w:rPr>
              <w:t>4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20437B" w:rsidP="00661E41">
            <w:pPr>
              <w:spacing w:after="0"/>
              <w:rPr>
                <w:b/>
              </w:rPr>
            </w:pPr>
            <w:r>
              <w:rPr>
                <w:b/>
              </w:rPr>
              <w:t>Kuchařská</w:t>
            </w:r>
          </w:p>
          <w:p w:rsidR="00D56A66" w:rsidRPr="00D56A66" w:rsidRDefault="004C2571" w:rsidP="00661E41">
            <w:pPr>
              <w:spacing w:after="0"/>
            </w:pPr>
            <w:r>
              <w:t>Podstatná jména</w:t>
            </w:r>
            <w:r w:rsidR="00980DB7">
              <w:t>. Rod. Číslo. Pád.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980DB7">
              <w:t>8</w:t>
            </w:r>
            <w:r w:rsidR="00AA0528">
              <w:t>7</w:t>
            </w:r>
            <w:r w:rsidR="00980DB7">
              <w:t xml:space="preserve"> - 8</w:t>
            </w:r>
            <w:r w:rsidR="00AA0528">
              <w:t>8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980DB7">
              <w:t>1</w:t>
            </w:r>
            <w:r w:rsidR="00A77E7E">
              <w:t>4</w:t>
            </w:r>
            <w:r w:rsidR="00980DB7">
              <w:t xml:space="preserve"> - 1</w:t>
            </w:r>
            <w:r w:rsidR="00A77E7E">
              <w:t>6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A77E7E">
              <w:t>34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A77E7E">
              <w:t>30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A77E7E">
              <w:t>68 - 70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A77E7E">
              <w:t>16 - 18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0F7023" w:rsidP="00661E41">
            <w:pPr>
              <w:spacing w:after="0"/>
            </w:pPr>
            <w:r>
              <w:t>Hasiči pomáhají.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0F7023">
              <w:t>49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5F1F9C">
              <w:t>strana 2</w:t>
            </w:r>
            <w:r w:rsidR="000F7023">
              <w:t>9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A77E7E" w:rsidRPr="00A77E7E" w:rsidRDefault="00A77E7E" w:rsidP="00E71431">
            <w:pPr>
              <w:pStyle w:val="Bezmezer"/>
            </w:pPr>
            <w:r w:rsidRPr="00A77E7E">
              <w:t xml:space="preserve">15. 3. Třídní schůzka – Ozdravný pobyt – </w:t>
            </w:r>
            <w:r>
              <w:t xml:space="preserve">v </w:t>
            </w:r>
            <w:bookmarkStart w:id="0" w:name="_GoBack"/>
            <w:bookmarkEnd w:id="0"/>
            <w:r w:rsidRPr="00A77E7E">
              <w:t>16:30</w:t>
            </w:r>
            <w:r>
              <w:t xml:space="preserve"> </w:t>
            </w:r>
          </w:p>
          <w:p w:rsidR="00837DB2" w:rsidRPr="00A463AA" w:rsidRDefault="00837DB2" w:rsidP="005F1F9C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F1" w:rsidRDefault="00227FF1" w:rsidP="00EA50CC">
      <w:pPr>
        <w:spacing w:after="0"/>
      </w:pPr>
      <w:r>
        <w:separator/>
      </w:r>
    </w:p>
  </w:endnote>
  <w:endnote w:type="continuationSeparator" w:id="0">
    <w:p w:rsidR="00227FF1" w:rsidRDefault="00227FF1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F1" w:rsidRDefault="00227FF1" w:rsidP="00EA50CC">
      <w:pPr>
        <w:spacing w:after="0"/>
      </w:pPr>
      <w:r>
        <w:separator/>
      </w:r>
    </w:p>
  </w:footnote>
  <w:footnote w:type="continuationSeparator" w:id="0">
    <w:p w:rsidR="00227FF1" w:rsidRDefault="00227FF1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0437B"/>
    <w:rsid w:val="00221F6B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C2571"/>
    <w:rsid w:val="004E435D"/>
    <w:rsid w:val="00502999"/>
    <w:rsid w:val="00532307"/>
    <w:rsid w:val="005913F4"/>
    <w:rsid w:val="00597C50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B00AC"/>
    <w:rsid w:val="009B0E18"/>
    <w:rsid w:val="009E0D36"/>
    <w:rsid w:val="00A15568"/>
    <w:rsid w:val="00A22AFA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8C0A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2022-02-03T06:32:00Z</cp:lastPrinted>
  <dcterms:created xsi:type="dcterms:W3CDTF">2022-03-10T13:50:00Z</dcterms:created>
  <dcterms:modified xsi:type="dcterms:W3CDTF">2022-03-10T13:50:00Z</dcterms:modified>
</cp:coreProperties>
</file>